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2023级水利水电工程专业指导性教学计划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水利水电工程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2023-2024学年第一学期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165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06"/>
        <w:gridCol w:w="806"/>
        <w:gridCol w:w="806"/>
        <w:gridCol w:w="2258"/>
        <w:gridCol w:w="2580"/>
        <w:gridCol w:w="702"/>
        <w:gridCol w:w="1128"/>
        <w:gridCol w:w="1290"/>
        <w:gridCol w:w="967"/>
        <w:gridCol w:w="1614"/>
        <w:gridCol w:w="1123"/>
      </w:tblGrid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思想道德与法治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中国近现代史纲要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马克思主义基本原理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习近平新时代中国特色社会主义思想概论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形势与政策（5）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形势与政策（6）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形势与政策（7）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形势与政策（8）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通用英语（1）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通用英语（2）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通用英语（3）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跨文化交际英语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通用学术英语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大学体育（4）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军事训练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大学生劳动教育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就业指导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大学生心理健康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军事理论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创新创业基础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35.5,     要求门数: 27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大学英语入学实施分级教学，将学生分为一级、二级和三级。每个级别学生学习相应级别课程，共计4门课程，对应总学分为8，具体内容参照《合肥工业大学大学英语教学改革方案》（2023版）。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通识选修</w:t>
            </w:r>
          </w:p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哲学思想与批判性思维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文史经典及文化传承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科技发展与科学精神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当代中国与社会责任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人文素养与艺术审美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生态环境与可持续发展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国际视野与文明发展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10,     要求门数: 无,     要求完成子模块数: 5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学生毕业时至少选修1门“四史”课程；公共艺术课程包括美学和艺术史论类、艺术鉴赏和评论类、艺术体验和实践类等三种类型课程，学生修满公共艺术课程 2 个学分方能毕业，其中美学和艺术史论类、艺术鉴赏和评论类课程至少取得 1 个学分。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45.5,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工科化学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0700003B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智能测绘实习A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理论力学C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材料力学B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智能测绘A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水利工程制图（1）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计算机语言程序设计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大学物理实验（上）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大学物理实验（下）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大学物理C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线性代数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概率论与数理统计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高等数学A（上）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高等数学A（下）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工程训练D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42.5,     要求门数: 15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结构力学B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水利水电工程专业毕业设计（论文）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企业学习-水利水电工程实习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0740033B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地质认识实习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水力学A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0740082B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水工建筑物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0740092B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水电站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0740102B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水利水电工程施工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水利水电工程专业新生研讨课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水资源规划及利用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水工钢筋混凝土结构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工程水文学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土力学A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认识实习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47,     要求门数: 14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大数据与人工智能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 BIM与虚拟现实技术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环境工程概论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水利工程制图（2）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智慧水利概论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工程项目智慧管理与经济学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课程设计-水工钢结构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工程造价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0740053B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课程设计-水资源规划及利用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水库智慧调度与管理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水利工程材料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0740073B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课程设计-水工建筑物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生态水利和城市水务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农田水利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水利水电工程科研训练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限选，不计入总学分。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课程设计—水利水电工程施工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0740133B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课程设计-水电站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课程设计-水工钢筋混凝土结构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地下水水文学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水泵与水泵站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水利系统工程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地基处理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专业英语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0740350X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毕业论文写作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水工钢结构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弹性力学及有限元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工程地质与水文地质A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0749853B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 xml:space="preserve">85 水利创新训练 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30,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学生至少要选修2学分的非本专业开设的专业选修课程。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77,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165,     要求门数: 无,    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